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4A0" w:firstRow="1" w:lastRow="0" w:firstColumn="1" w:lastColumn="0" w:noHBand="0" w:noVBand="1"/>
      </w:tblPr>
      <w:tblGrid>
        <w:gridCol w:w="4253"/>
        <w:gridCol w:w="5103"/>
      </w:tblGrid>
      <w:tr w:rsidR="000D46B4" w:rsidTr="000D46B4">
        <w:trPr>
          <w:trHeight w:val="567"/>
        </w:trPr>
        <w:tc>
          <w:tcPr>
            <w:tcW w:w="4253" w:type="dxa"/>
            <w:hideMark/>
          </w:tcPr>
          <w:p w:rsidR="000D46B4" w:rsidRDefault="000D46B4">
            <w:pPr>
              <w:ind w:left="-57" w:right="-113"/>
              <w:jc w:val="center"/>
              <w:rPr>
                <w:sz w:val="24"/>
                <w:szCs w:val="24"/>
                <w:lang w:val="de-DE"/>
              </w:rPr>
            </w:pPr>
            <w:r>
              <w:rPr>
                <w:lang w:val="de-DE"/>
              </w:rPr>
              <w:t>BỘ GIÁO DỤC VÀ ĐÀO TẠO</w:t>
            </w:r>
          </w:p>
          <w:p w:rsidR="000D46B4" w:rsidRDefault="000D46B4">
            <w:pPr>
              <w:keepNext/>
              <w:ind w:left="-57" w:right="-113"/>
              <w:jc w:val="center"/>
              <w:outlineLvl w:val="0"/>
              <w:rPr>
                <w:b/>
                <w:bCs/>
                <w:color w:val="000000"/>
                <w:szCs w:val="26"/>
                <w:lang w:val="de-DE"/>
              </w:rPr>
            </w:pPr>
            <w:r>
              <w:rPr>
                <w:b/>
                <w:bCs/>
                <w:color w:val="000000"/>
                <w:szCs w:val="26"/>
                <w:lang w:val="de-DE"/>
              </w:rPr>
              <w:t>TRƯỜNG ĐHDL PHƯƠNG ĐÔNG</w:t>
            </w:r>
          </w:p>
          <w:p w:rsidR="000D46B4" w:rsidRDefault="000D46B4">
            <w:pPr>
              <w:ind w:left="-57" w:right="-113"/>
              <w:jc w:val="center"/>
              <w:rPr>
                <w:sz w:val="28"/>
                <w:szCs w:val="28"/>
                <w:lang w:val="de-DE"/>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762635</wp:posOffset>
                      </wp:positionH>
                      <wp:positionV relativeFrom="paragraph">
                        <wp:posOffset>20320</wp:posOffset>
                      </wp:positionV>
                      <wp:extent cx="1211580" cy="0"/>
                      <wp:effectExtent l="11430" t="7620" r="5715" b="11430"/>
                      <wp:wrapNone/>
                      <wp:docPr id="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6pt" to="15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rY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"/>
                  </w:pict>
                </mc:Fallback>
              </mc:AlternateContent>
            </w:r>
          </w:p>
        </w:tc>
        <w:tc>
          <w:tcPr>
            <w:tcW w:w="5103" w:type="dxa"/>
            <w:hideMark/>
          </w:tcPr>
          <w:p w:rsidR="000D46B4" w:rsidRDefault="000D46B4">
            <w:pPr>
              <w:ind w:left="-57" w:right="-113"/>
              <w:jc w:val="center"/>
              <w:rPr>
                <w:b/>
                <w:sz w:val="24"/>
                <w:szCs w:val="24"/>
              </w:rPr>
            </w:pPr>
            <w:r>
              <w:rPr>
                <w:b/>
              </w:rPr>
              <w:t>CỘNG HOÀ XÃ HỘI CHỦ NGHĨA VIỆT NAM</w:t>
            </w:r>
          </w:p>
          <w:p w:rsidR="000D46B4" w:rsidRDefault="000D46B4">
            <w:pPr>
              <w:ind w:left="-57" w:right="-113"/>
              <w:jc w:val="center"/>
              <w:rPr>
                <w:b/>
                <w:bCs/>
                <w:sz w:val="28"/>
                <w:szCs w:val="28"/>
              </w:rPr>
            </w:pPr>
            <w:r>
              <w:rPr>
                <w:b/>
                <w:bCs/>
                <w:sz w:val="28"/>
                <w:szCs w:val="28"/>
              </w:rPr>
              <w:t>Độc lập - Tự do - Hạnh phúc</w:t>
            </w:r>
          </w:p>
          <w:p w:rsidR="000D46B4" w:rsidRDefault="000D46B4">
            <w:pPr>
              <w:ind w:left="-57" w:right="-113"/>
              <w:jc w:val="center"/>
              <w:rPr>
                <w:sz w:val="28"/>
                <w:szCs w:val="28"/>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448945</wp:posOffset>
                      </wp:positionH>
                      <wp:positionV relativeFrom="paragraph">
                        <wp:posOffset>26035</wp:posOffset>
                      </wp:positionV>
                      <wp:extent cx="2201545" cy="0"/>
                      <wp:effectExtent l="7620" t="10160" r="10160" b="8890"/>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2.05pt" to="208.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08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C63pjSshYqV2NhRHz+rFbDX97pDSq5aoA48UXy8G8rKQkbxJCRtn4IJ9/0UziCFHr2Of&#10;zo3tAiR0AJ2jHJe7HPzsEYXDHFoyKSYY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"/>
                  </w:pict>
                </mc:Fallback>
              </mc:AlternateContent>
            </w:r>
          </w:p>
        </w:tc>
      </w:tr>
    </w:tbl>
    <w:p w:rsidR="000D46B4" w:rsidRDefault="000D46B4" w:rsidP="000D46B4">
      <w:pPr>
        <w:spacing w:before="120"/>
        <w:jc w:val="center"/>
        <w:rPr>
          <w:b/>
          <w:bCs/>
          <w:sz w:val="28"/>
          <w:szCs w:val="28"/>
        </w:rPr>
      </w:pPr>
    </w:p>
    <w:p w:rsidR="000D46B4" w:rsidRDefault="000D46B4" w:rsidP="000D46B4">
      <w:pPr>
        <w:spacing w:before="120"/>
        <w:jc w:val="center"/>
        <w:rPr>
          <w:b/>
          <w:bCs/>
          <w:sz w:val="30"/>
          <w:szCs w:val="30"/>
        </w:rPr>
      </w:pPr>
      <w:r>
        <w:rPr>
          <w:b/>
          <w:bCs/>
          <w:sz w:val="30"/>
          <w:szCs w:val="30"/>
        </w:rPr>
        <w:t>QUY CHẾ</w:t>
      </w:r>
    </w:p>
    <w:p w:rsidR="000D46B4" w:rsidRDefault="000D46B4" w:rsidP="000D46B4">
      <w:pPr>
        <w:spacing w:before="120"/>
        <w:jc w:val="center"/>
        <w:rPr>
          <w:b/>
          <w:bCs/>
          <w:sz w:val="28"/>
          <w:szCs w:val="28"/>
        </w:rPr>
      </w:pPr>
      <w:r>
        <w:rPr>
          <w:b/>
          <w:bCs/>
          <w:sz w:val="28"/>
          <w:szCs w:val="28"/>
        </w:rPr>
        <w:t>Đào tạo đại học và cao đẳng hệ chính quy theo hệ thống tín chỉ</w:t>
      </w:r>
    </w:p>
    <w:p w:rsidR="000D46B4" w:rsidRDefault="000D46B4" w:rsidP="000D46B4">
      <w:pPr>
        <w:spacing w:before="120"/>
        <w:jc w:val="center"/>
        <w:rPr>
          <w:sz w:val="28"/>
          <w:szCs w:val="28"/>
        </w:rPr>
      </w:pPr>
      <w:r>
        <w:rPr>
          <w:i/>
          <w:iCs/>
          <w:sz w:val="28"/>
          <w:szCs w:val="28"/>
        </w:rPr>
        <w:t>(</w:t>
      </w:r>
      <w:r>
        <w:rPr>
          <w:i/>
          <w:iCs/>
          <w:szCs w:val="26"/>
        </w:rPr>
        <w:t xml:space="preserve">Ban hành kèm theo Quyết định số   143 /QĐ-ĐHPĐ-ĐT ngày  13  tháng 3  năm 2014 của Hiệu trưởng trường Đại học Dân lập Phương Đông </w:t>
      </w:r>
      <w:r>
        <w:rPr>
          <w:i/>
          <w:iCs/>
          <w:sz w:val="28"/>
          <w:szCs w:val="28"/>
        </w:rPr>
        <w:t>)</w:t>
      </w:r>
    </w:p>
    <w:p w:rsidR="000D46B4" w:rsidRDefault="000D46B4" w:rsidP="000D46B4">
      <w:pPr>
        <w:spacing w:before="120"/>
        <w:jc w:val="center"/>
        <w:rPr>
          <w:sz w:val="16"/>
          <w:szCs w:val="16"/>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1962150</wp:posOffset>
                </wp:positionH>
                <wp:positionV relativeFrom="paragraph">
                  <wp:posOffset>44450</wp:posOffset>
                </wp:positionV>
                <wp:extent cx="2134870" cy="0"/>
                <wp:effectExtent l="13335" t="8255" r="13970"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3.5pt" to="322.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cd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"/>
            </w:pict>
          </mc:Fallback>
        </mc:AlternateContent>
      </w:r>
    </w:p>
    <w:p w:rsidR="000D46B4" w:rsidRDefault="000D46B4" w:rsidP="000D46B4">
      <w:pPr>
        <w:spacing w:before="200" w:after="200"/>
        <w:ind w:firstLine="567"/>
        <w:jc w:val="both"/>
        <w:rPr>
          <w:b/>
          <w:bCs/>
          <w:sz w:val="28"/>
          <w:szCs w:val="28"/>
        </w:rPr>
      </w:pPr>
    </w:p>
    <w:p w:rsidR="000D46B4" w:rsidRDefault="000D46B4" w:rsidP="000D46B4">
      <w:pPr>
        <w:spacing w:before="200" w:after="200"/>
        <w:ind w:firstLine="567"/>
        <w:jc w:val="both"/>
        <w:rPr>
          <w:b/>
          <w:bCs/>
          <w:sz w:val="28"/>
          <w:szCs w:val="28"/>
        </w:rPr>
      </w:pPr>
      <w:bookmarkStart w:id="0" w:name="_GoBack"/>
      <w:bookmarkEnd w:id="0"/>
      <w:r>
        <w:rPr>
          <w:b/>
          <w:bCs/>
          <w:sz w:val="28"/>
          <w:szCs w:val="28"/>
        </w:rPr>
        <w:t>Điều 14. Xếp hạng năm đào tạo và học lực</w:t>
      </w:r>
    </w:p>
    <w:p w:rsidR="000D46B4" w:rsidRDefault="000D46B4" w:rsidP="000D46B4">
      <w:pPr>
        <w:spacing w:before="80" w:after="80"/>
        <w:ind w:firstLine="539"/>
        <w:jc w:val="both"/>
        <w:rPr>
          <w:sz w:val="28"/>
          <w:szCs w:val="28"/>
          <w:lang w:val="it-IT"/>
        </w:rPr>
      </w:pPr>
      <w:r>
        <w:rPr>
          <w:sz w:val="28"/>
          <w:szCs w:val="28"/>
          <w:lang w:val="it-IT"/>
        </w:rPr>
        <w:t>1. Sau mỗi học kỳ, căn cứ vào khối lượng kiến thức tích lũy, sinh viên được xếp hạng năm đào tạo như sau:</w:t>
      </w:r>
    </w:p>
    <w:tbl>
      <w:tblPr>
        <w:tblW w:w="9242" w:type="dxa"/>
        <w:tblInd w:w="108" w:type="dxa"/>
        <w:tblLook w:val="01E0" w:firstRow="1" w:lastRow="1" w:firstColumn="1" w:lastColumn="1" w:noHBand="0" w:noVBand="0"/>
      </w:tblPr>
      <w:tblGrid>
        <w:gridCol w:w="3420"/>
        <w:gridCol w:w="5822"/>
      </w:tblGrid>
      <w:tr w:rsidR="000D46B4" w:rsidTr="000D46B4">
        <w:tc>
          <w:tcPr>
            <w:tcW w:w="3420" w:type="dxa"/>
            <w:hideMark/>
          </w:tcPr>
          <w:p w:rsidR="000D46B4" w:rsidRDefault="000D46B4">
            <w:pPr>
              <w:spacing w:before="80" w:after="80"/>
              <w:jc w:val="both"/>
              <w:rPr>
                <w:sz w:val="28"/>
                <w:szCs w:val="28"/>
              </w:rPr>
            </w:pPr>
            <w:r>
              <w:rPr>
                <w:sz w:val="28"/>
                <w:szCs w:val="28"/>
              </w:rPr>
              <w:t>a) Sinh viên năm thứ nhất:</w:t>
            </w:r>
          </w:p>
        </w:tc>
        <w:tc>
          <w:tcPr>
            <w:tcW w:w="5822" w:type="dxa"/>
            <w:hideMark/>
          </w:tcPr>
          <w:p w:rsidR="000D46B4" w:rsidRDefault="000D46B4">
            <w:pPr>
              <w:spacing w:before="80" w:after="80"/>
              <w:jc w:val="both"/>
              <w:rPr>
                <w:sz w:val="28"/>
                <w:szCs w:val="28"/>
              </w:rPr>
            </w:pPr>
            <w:r>
              <w:rPr>
                <w:sz w:val="28"/>
                <w:szCs w:val="28"/>
              </w:rPr>
              <w:t>Nếu khối lượng kiến thức tích lũy dưới 35 tín chỉ;</w:t>
            </w:r>
          </w:p>
        </w:tc>
      </w:tr>
      <w:tr w:rsidR="000D46B4" w:rsidTr="000D46B4">
        <w:tc>
          <w:tcPr>
            <w:tcW w:w="3420" w:type="dxa"/>
            <w:hideMark/>
          </w:tcPr>
          <w:p w:rsidR="000D46B4" w:rsidRDefault="000D46B4">
            <w:pPr>
              <w:spacing w:before="80" w:after="80"/>
              <w:jc w:val="both"/>
              <w:rPr>
                <w:sz w:val="28"/>
                <w:szCs w:val="28"/>
              </w:rPr>
            </w:pPr>
            <w:r>
              <w:rPr>
                <w:sz w:val="28"/>
                <w:szCs w:val="28"/>
              </w:rPr>
              <w:t>b) Sinh viên năm thứ hai:</w:t>
            </w:r>
          </w:p>
        </w:tc>
        <w:tc>
          <w:tcPr>
            <w:tcW w:w="5822" w:type="dxa"/>
            <w:hideMark/>
          </w:tcPr>
          <w:p w:rsidR="000D46B4" w:rsidRDefault="000D46B4">
            <w:pPr>
              <w:spacing w:before="80" w:after="80"/>
              <w:jc w:val="both"/>
              <w:rPr>
                <w:sz w:val="28"/>
                <w:szCs w:val="28"/>
              </w:rPr>
            </w:pPr>
            <w:r>
              <w:rPr>
                <w:sz w:val="28"/>
                <w:szCs w:val="28"/>
              </w:rPr>
              <w:t>Nếu khối lượng kiến thức tích lũy từ 35 tín chỉ đến dưới 70 tín chỉ;</w:t>
            </w:r>
          </w:p>
        </w:tc>
      </w:tr>
      <w:tr w:rsidR="000D46B4" w:rsidTr="000D46B4">
        <w:tc>
          <w:tcPr>
            <w:tcW w:w="3420" w:type="dxa"/>
            <w:hideMark/>
          </w:tcPr>
          <w:p w:rsidR="000D46B4" w:rsidRDefault="000D46B4">
            <w:pPr>
              <w:spacing w:before="80" w:after="80"/>
              <w:jc w:val="both"/>
              <w:rPr>
                <w:sz w:val="28"/>
                <w:szCs w:val="28"/>
              </w:rPr>
            </w:pPr>
            <w:r>
              <w:rPr>
                <w:sz w:val="28"/>
                <w:szCs w:val="28"/>
              </w:rPr>
              <w:t>c) Sinh viên năm thứ ba:</w:t>
            </w:r>
          </w:p>
        </w:tc>
        <w:tc>
          <w:tcPr>
            <w:tcW w:w="5822" w:type="dxa"/>
            <w:hideMark/>
          </w:tcPr>
          <w:p w:rsidR="000D46B4" w:rsidRDefault="000D46B4">
            <w:pPr>
              <w:spacing w:before="80" w:after="80"/>
              <w:jc w:val="both"/>
              <w:rPr>
                <w:sz w:val="28"/>
                <w:szCs w:val="28"/>
              </w:rPr>
            </w:pPr>
            <w:r>
              <w:rPr>
                <w:sz w:val="28"/>
                <w:szCs w:val="28"/>
              </w:rPr>
              <w:t>Nếu khối lượng kiến thức tích lũy từ 70 tín chỉ đến dưới 105 tín chỉ;</w:t>
            </w:r>
          </w:p>
        </w:tc>
      </w:tr>
      <w:tr w:rsidR="000D46B4" w:rsidTr="000D46B4">
        <w:tc>
          <w:tcPr>
            <w:tcW w:w="3420" w:type="dxa"/>
            <w:hideMark/>
          </w:tcPr>
          <w:p w:rsidR="000D46B4" w:rsidRDefault="000D46B4">
            <w:pPr>
              <w:spacing w:before="80" w:after="80"/>
              <w:rPr>
                <w:sz w:val="28"/>
                <w:szCs w:val="28"/>
              </w:rPr>
            </w:pPr>
            <w:r>
              <w:rPr>
                <w:sz w:val="28"/>
                <w:szCs w:val="28"/>
              </w:rPr>
              <w:t>d) Sinh viên năm thứ tư:</w:t>
            </w:r>
          </w:p>
        </w:tc>
        <w:tc>
          <w:tcPr>
            <w:tcW w:w="5822" w:type="dxa"/>
            <w:hideMark/>
          </w:tcPr>
          <w:p w:rsidR="000D46B4" w:rsidRDefault="000D46B4">
            <w:pPr>
              <w:spacing w:before="80" w:after="80"/>
              <w:jc w:val="both"/>
              <w:rPr>
                <w:sz w:val="28"/>
                <w:szCs w:val="28"/>
              </w:rPr>
            </w:pPr>
            <w:r>
              <w:rPr>
                <w:sz w:val="28"/>
                <w:szCs w:val="28"/>
              </w:rPr>
              <w:t>Nếu khối lượng kiến thức tích lũy từ 105 tín chỉ đến dưới 140 tín chỉ;</w:t>
            </w:r>
          </w:p>
        </w:tc>
      </w:tr>
      <w:tr w:rsidR="000D46B4" w:rsidTr="000D46B4">
        <w:tc>
          <w:tcPr>
            <w:tcW w:w="3420" w:type="dxa"/>
            <w:hideMark/>
          </w:tcPr>
          <w:p w:rsidR="000D46B4" w:rsidRDefault="000D46B4">
            <w:pPr>
              <w:spacing w:before="80" w:after="80"/>
              <w:rPr>
                <w:sz w:val="28"/>
                <w:szCs w:val="28"/>
              </w:rPr>
            </w:pPr>
            <w:r>
              <w:rPr>
                <w:sz w:val="28"/>
                <w:szCs w:val="28"/>
              </w:rPr>
              <w:t>đ) Sinh viên năm thứ năm:</w:t>
            </w:r>
          </w:p>
        </w:tc>
        <w:tc>
          <w:tcPr>
            <w:tcW w:w="5822" w:type="dxa"/>
            <w:hideMark/>
          </w:tcPr>
          <w:p w:rsidR="000D46B4" w:rsidRDefault="000D46B4">
            <w:pPr>
              <w:spacing w:before="80" w:after="80"/>
              <w:jc w:val="both"/>
              <w:rPr>
                <w:sz w:val="28"/>
                <w:szCs w:val="28"/>
              </w:rPr>
            </w:pPr>
            <w:r>
              <w:rPr>
                <w:sz w:val="28"/>
                <w:szCs w:val="28"/>
              </w:rPr>
              <w:t>Nếu khối lượng kiến thức tích lũy từ 140 tín chỉ trở lên.</w:t>
            </w:r>
          </w:p>
        </w:tc>
      </w:tr>
    </w:tbl>
    <w:p w:rsidR="000D46B4" w:rsidRDefault="000D46B4" w:rsidP="000D46B4">
      <w:pPr>
        <w:spacing w:before="80" w:after="80"/>
        <w:ind w:firstLine="567"/>
        <w:jc w:val="both"/>
        <w:rPr>
          <w:sz w:val="28"/>
          <w:szCs w:val="28"/>
        </w:rPr>
      </w:pPr>
      <w:r>
        <w:rPr>
          <w:sz w:val="28"/>
          <w:szCs w:val="28"/>
        </w:rPr>
        <w:t>2. Việc xếp hạng năm đào tạo cho sinh viên có thể phục vụ cho nhiều mục đích khác nhau, trong đó có:</w:t>
      </w:r>
    </w:p>
    <w:p w:rsidR="000D46B4" w:rsidRDefault="000D46B4" w:rsidP="000D46B4">
      <w:pPr>
        <w:spacing w:before="80" w:after="80"/>
        <w:ind w:firstLine="567"/>
        <w:jc w:val="both"/>
        <w:rPr>
          <w:sz w:val="28"/>
          <w:szCs w:val="28"/>
        </w:rPr>
      </w:pPr>
      <w:r>
        <w:rPr>
          <w:sz w:val="28"/>
          <w:szCs w:val="28"/>
        </w:rPr>
        <w:t>a) Cấp giấy chứng nhận cho sinh viên khi cần thiết;</w:t>
      </w:r>
    </w:p>
    <w:p w:rsidR="000D46B4" w:rsidRDefault="000D46B4" w:rsidP="000D46B4">
      <w:pPr>
        <w:spacing w:before="80" w:after="80"/>
        <w:ind w:firstLine="567"/>
        <w:jc w:val="both"/>
        <w:rPr>
          <w:sz w:val="28"/>
          <w:szCs w:val="28"/>
        </w:rPr>
      </w:pPr>
      <w:r>
        <w:rPr>
          <w:sz w:val="28"/>
          <w:szCs w:val="28"/>
        </w:rPr>
        <w:t>b) Xác định điều kiện tham dự những học phần có yêu cầu;</w:t>
      </w:r>
    </w:p>
    <w:p w:rsidR="000D46B4" w:rsidRDefault="000D46B4" w:rsidP="000D46B4">
      <w:pPr>
        <w:spacing w:before="80" w:after="80"/>
        <w:ind w:firstLine="567"/>
        <w:jc w:val="both"/>
        <w:rPr>
          <w:sz w:val="28"/>
          <w:szCs w:val="28"/>
        </w:rPr>
      </w:pPr>
      <w:r>
        <w:rPr>
          <w:sz w:val="28"/>
          <w:szCs w:val="28"/>
        </w:rPr>
        <w:t>c) Xác định mức ưu tiên trong các chế độ, chính sách,...</w:t>
      </w:r>
    </w:p>
    <w:p w:rsidR="000D46B4" w:rsidRDefault="000D46B4" w:rsidP="000D46B4">
      <w:pPr>
        <w:pStyle w:val="BodyTextIndent"/>
        <w:spacing w:before="80"/>
        <w:ind w:left="0" w:firstLine="539"/>
        <w:jc w:val="both"/>
        <w:rPr>
          <w:sz w:val="28"/>
          <w:szCs w:val="28"/>
        </w:rPr>
      </w:pPr>
      <w:r>
        <w:rPr>
          <w:sz w:val="28"/>
          <w:szCs w:val="28"/>
        </w:rPr>
        <w:t>3. Sau mỗi học kỳ, căn cứ vào điểm trung bình chung tích luỹ, sinh viên được xếp hạng về học lực như sau:</w:t>
      </w:r>
    </w:p>
    <w:tbl>
      <w:tblPr>
        <w:tblW w:w="8629"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700"/>
        <w:gridCol w:w="3312"/>
      </w:tblGrid>
      <w:tr w:rsidR="000D46B4" w:rsidTr="000D46B4">
        <w:trPr>
          <w:trHeight w:val="624"/>
        </w:trPr>
        <w:tc>
          <w:tcPr>
            <w:tcW w:w="2617" w:type="dxa"/>
            <w:tcBorders>
              <w:top w:val="single" w:sz="4" w:space="0" w:color="000000"/>
              <w:left w:val="single" w:sz="4" w:space="0" w:color="000000"/>
              <w:bottom w:val="single" w:sz="4" w:space="0" w:color="000000"/>
              <w:right w:val="single" w:sz="4" w:space="0" w:color="000000"/>
            </w:tcBorders>
            <w:hideMark/>
          </w:tcPr>
          <w:p w:rsidR="000D46B4" w:rsidRDefault="000D46B4">
            <w:pPr>
              <w:pStyle w:val="BodyTextIndent"/>
              <w:spacing w:before="120"/>
              <w:ind w:left="0"/>
              <w:jc w:val="center"/>
              <w:rPr>
                <w:b/>
                <w:sz w:val="28"/>
                <w:szCs w:val="28"/>
              </w:rPr>
            </w:pPr>
            <w:r>
              <w:rPr>
                <w:b/>
                <w:sz w:val="28"/>
                <w:szCs w:val="28"/>
              </w:rPr>
              <w:t>Học lực</w:t>
            </w:r>
          </w:p>
        </w:tc>
        <w:tc>
          <w:tcPr>
            <w:tcW w:w="2700" w:type="dxa"/>
            <w:tcBorders>
              <w:top w:val="single" w:sz="4" w:space="0" w:color="000000"/>
              <w:left w:val="single" w:sz="4" w:space="0" w:color="000000"/>
              <w:bottom w:val="single" w:sz="4" w:space="0" w:color="000000"/>
              <w:right w:val="single" w:sz="4" w:space="0" w:color="000000"/>
            </w:tcBorders>
            <w:hideMark/>
          </w:tcPr>
          <w:p w:rsidR="000D46B4" w:rsidRDefault="000D46B4">
            <w:pPr>
              <w:pStyle w:val="BodyTextIndent"/>
              <w:spacing w:before="120"/>
              <w:ind w:left="0"/>
              <w:jc w:val="center"/>
              <w:rPr>
                <w:b/>
                <w:sz w:val="28"/>
                <w:szCs w:val="28"/>
              </w:rPr>
            </w:pPr>
            <w:r>
              <w:rPr>
                <w:b/>
                <w:sz w:val="28"/>
                <w:szCs w:val="28"/>
              </w:rPr>
              <w:t>Xếp loại</w:t>
            </w:r>
          </w:p>
        </w:tc>
        <w:tc>
          <w:tcPr>
            <w:tcW w:w="3312" w:type="dxa"/>
            <w:tcBorders>
              <w:top w:val="single" w:sz="4" w:space="0" w:color="000000"/>
              <w:left w:val="single" w:sz="4" w:space="0" w:color="000000"/>
              <w:bottom w:val="single" w:sz="4" w:space="0" w:color="000000"/>
              <w:right w:val="single" w:sz="4" w:space="0" w:color="000000"/>
            </w:tcBorders>
            <w:hideMark/>
          </w:tcPr>
          <w:p w:rsidR="000D46B4" w:rsidRDefault="000D46B4">
            <w:pPr>
              <w:pStyle w:val="BodyTextIndent"/>
              <w:spacing w:before="120"/>
              <w:ind w:left="0"/>
              <w:jc w:val="center"/>
              <w:rPr>
                <w:b/>
                <w:sz w:val="28"/>
                <w:szCs w:val="28"/>
              </w:rPr>
            </w:pPr>
            <w:r>
              <w:rPr>
                <w:b/>
                <w:sz w:val="28"/>
                <w:szCs w:val="28"/>
              </w:rPr>
              <w:t>Điểm TBC tích luỹ</w:t>
            </w:r>
          </w:p>
        </w:tc>
      </w:tr>
      <w:tr w:rsidR="000D46B4" w:rsidTr="000D46B4">
        <w:trPr>
          <w:trHeight w:val="510"/>
        </w:trPr>
        <w:tc>
          <w:tcPr>
            <w:tcW w:w="2617" w:type="dxa"/>
            <w:vMerge w:val="restart"/>
            <w:tcBorders>
              <w:top w:val="single" w:sz="4" w:space="0" w:color="000000"/>
              <w:left w:val="single" w:sz="4" w:space="0" w:color="000000"/>
              <w:bottom w:val="single" w:sz="4" w:space="0" w:color="000000"/>
              <w:right w:val="single" w:sz="4" w:space="0" w:color="000000"/>
            </w:tcBorders>
            <w:vAlign w:val="center"/>
            <w:hideMark/>
          </w:tcPr>
          <w:p w:rsidR="000D46B4" w:rsidRDefault="000D46B4">
            <w:pPr>
              <w:pStyle w:val="BodyTextIndent"/>
              <w:spacing w:after="0"/>
              <w:ind w:left="0" w:firstLine="525"/>
              <w:rPr>
                <w:sz w:val="28"/>
                <w:szCs w:val="28"/>
              </w:rPr>
            </w:pPr>
            <w:r>
              <w:rPr>
                <w:sz w:val="28"/>
                <w:szCs w:val="28"/>
              </w:rPr>
              <w:lastRenderedPageBreak/>
              <w:t>Bình thường</w:t>
            </w: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0D46B4" w:rsidRDefault="000D46B4">
            <w:pPr>
              <w:pStyle w:val="BodyTextIndent"/>
              <w:spacing w:after="0"/>
              <w:ind w:left="0" w:firstLine="743"/>
              <w:rPr>
                <w:sz w:val="28"/>
                <w:szCs w:val="28"/>
              </w:rPr>
            </w:pPr>
            <w:r>
              <w:rPr>
                <w:sz w:val="28"/>
                <w:szCs w:val="28"/>
              </w:rPr>
              <w:t>Xuất sắc</w:t>
            </w:r>
          </w:p>
        </w:tc>
        <w:tc>
          <w:tcPr>
            <w:tcW w:w="3312" w:type="dxa"/>
            <w:tcBorders>
              <w:top w:val="single" w:sz="4" w:space="0" w:color="000000"/>
              <w:left w:val="single" w:sz="4" w:space="0" w:color="000000"/>
              <w:bottom w:val="single" w:sz="4" w:space="0" w:color="000000"/>
              <w:right w:val="single" w:sz="4" w:space="0" w:color="000000"/>
            </w:tcBorders>
            <w:vAlign w:val="center"/>
            <w:hideMark/>
          </w:tcPr>
          <w:p w:rsidR="000D46B4" w:rsidRDefault="000D46B4">
            <w:pPr>
              <w:pStyle w:val="BodyTextIndent"/>
              <w:spacing w:after="0"/>
              <w:ind w:left="0" w:firstLine="594"/>
              <w:rPr>
                <w:sz w:val="28"/>
                <w:szCs w:val="28"/>
              </w:rPr>
            </w:pPr>
            <w:r>
              <w:rPr>
                <w:sz w:val="28"/>
                <w:szCs w:val="28"/>
                <w:lang w:bidi="he-IL"/>
              </w:rPr>
              <w:t>từ 3,60 đến 4,00</w:t>
            </w:r>
          </w:p>
        </w:tc>
      </w:tr>
      <w:tr w:rsidR="000D46B4" w:rsidTr="000D46B4">
        <w:trPr>
          <w:trHeight w:val="5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46B4" w:rsidRDefault="000D46B4">
            <w:pPr>
              <w:rPr>
                <w:sz w:val="28"/>
                <w:szCs w:val="28"/>
              </w:rPr>
            </w:pP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0D46B4" w:rsidRDefault="000D46B4">
            <w:pPr>
              <w:pStyle w:val="BodyTextIndent"/>
              <w:spacing w:after="0"/>
              <w:ind w:left="0" w:firstLine="743"/>
              <w:rPr>
                <w:sz w:val="28"/>
                <w:szCs w:val="28"/>
              </w:rPr>
            </w:pPr>
            <w:r>
              <w:rPr>
                <w:sz w:val="28"/>
                <w:szCs w:val="28"/>
              </w:rPr>
              <w:t>Giỏi</w:t>
            </w:r>
          </w:p>
        </w:tc>
        <w:tc>
          <w:tcPr>
            <w:tcW w:w="3312" w:type="dxa"/>
            <w:tcBorders>
              <w:top w:val="single" w:sz="4" w:space="0" w:color="000000"/>
              <w:left w:val="single" w:sz="4" w:space="0" w:color="000000"/>
              <w:bottom w:val="single" w:sz="4" w:space="0" w:color="000000"/>
              <w:right w:val="single" w:sz="4" w:space="0" w:color="000000"/>
            </w:tcBorders>
            <w:vAlign w:val="center"/>
            <w:hideMark/>
          </w:tcPr>
          <w:p w:rsidR="000D46B4" w:rsidRDefault="000D46B4">
            <w:pPr>
              <w:ind w:firstLine="594"/>
              <w:rPr>
                <w:sz w:val="24"/>
                <w:szCs w:val="24"/>
              </w:rPr>
            </w:pPr>
            <w:r>
              <w:rPr>
                <w:sz w:val="28"/>
                <w:szCs w:val="28"/>
                <w:lang w:bidi="he-IL"/>
              </w:rPr>
              <w:t>từ 3,20 đến 3,59</w:t>
            </w:r>
          </w:p>
        </w:tc>
      </w:tr>
      <w:tr w:rsidR="000D46B4" w:rsidTr="000D46B4">
        <w:trPr>
          <w:trHeight w:val="5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46B4" w:rsidRDefault="000D46B4">
            <w:pPr>
              <w:rPr>
                <w:sz w:val="28"/>
                <w:szCs w:val="28"/>
              </w:rPr>
            </w:pP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0D46B4" w:rsidRDefault="000D46B4">
            <w:pPr>
              <w:pStyle w:val="BodyTextIndent"/>
              <w:spacing w:after="0"/>
              <w:ind w:left="0" w:firstLine="743"/>
              <w:rPr>
                <w:sz w:val="28"/>
                <w:szCs w:val="28"/>
              </w:rPr>
            </w:pPr>
            <w:r>
              <w:rPr>
                <w:sz w:val="28"/>
                <w:szCs w:val="28"/>
              </w:rPr>
              <w:t>Khá</w:t>
            </w:r>
          </w:p>
        </w:tc>
        <w:tc>
          <w:tcPr>
            <w:tcW w:w="3312" w:type="dxa"/>
            <w:tcBorders>
              <w:top w:val="single" w:sz="4" w:space="0" w:color="000000"/>
              <w:left w:val="single" w:sz="4" w:space="0" w:color="000000"/>
              <w:bottom w:val="single" w:sz="4" w:space="0" w:color="000000"/>
              <w:right w:val="single" w:sz="4" w:space="0" w:color="000000"/>
            </w:tcBorders>
            <w:vAlign w:val="center"/>
            <w:hideMark/>
          </w:tcPr>
          <w:p w:rsidR="000D46B4" w:rsidRDefault="000D46B4">
            <w:pPr>
              <w:ind w:firstLine="594"/>
              <w:rPr>
                <w:sz w:val="28"/>
                <w:szCs w:val="28"/>
              </w:rPr>
            </w:pPr>
            <w:r>
              <w:rPr>
                <w:sz w:val="28"/>
                <w:szCs w:val="28"/>
                <w:lang w:bidi="he-IL"/>
              </w:rPr>
              <w:t>từ 2,50 đến 3,19</w:t>
            </w:r>
          </w:p>
        </w:tc>
      </w:tr>
      <w:tr w:rsidR="000D46B4" w:rsidTr="000D46B4">
        <w:trPr>
          <w:trHeight w:val="5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46B4" w:rsidRDefault="000D46B4">
            <w:pPr>
              <w:rPr>
                <w:sz w:val="28"/>
                <w:szCs w:val="28"/>
              </w:rPr>
            </w:pP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0D46B4" w:rsidRDefault="000D46B4">
            <w:pPr>
              <w:pStyle w:val="BodyTextIndent"/>
              <w:spacing w:after="0"/>
              <w:ind w:left="0" w:firstLine="743"/>
              <w:rPr>
                <w:sz w:val="28"/>
                <w:szCs w:val="28"/>
              </w:rPr>
            </w:pPr>
            <w:r>
              <w:rPr>
                <w:sz w:val="28"/>
                <w:szCs w:val="28"/>
              </w:rPr>
              <w:t>Trung bình</w:t>
            </w:r>
          </w:p>
        </w:tc>
        <w:tc>
          <w:tcPr>
            <w:tcW w:w="3312" w:type="dxa"/>
            <w:tcBorders>
              <w:top w:val="single" w:sz="4" w:space="0" w:color="000000"/>
              <w:left w:val="single" w:sz="4" w:space="0" w:color="000000"/>
              <w:bottom w:val="single" w:sz="4" w:space="0" w:color="000000"/>
              <w:right w:val="single" w:sz="4" w:space="0" w:color="000000"/>
            </w:tcBorders>
            <w:vAlign w:val="center"/>
            <w:hideMark/>
          </w:tcPr>
          <w:p w:rsidR="000D46B4" w:rsidRDefault="000D46B4">
            <w:pPr>
              <w:ind w:firstLine="594"/>
              <w:rPr>
                <w:sz w:val="28"/>
                <w:szCs w:val="28"/>
              </w:rPr>
            </w:pPr>
            <w:r>
              <w:rPr>
                <w:sz w:val="28"/>
                <w:szCs w:val="28"/>
                <w:lang w:bidi="he-IL"/>
              </w:rPr>
              <w:t>từ 2,00 đến 2,49</w:t>
            </w:r>
          </w:p>
        </w:tc>
      </w:tr>
      <w:tr w:rsidR="000D46B4" w:rsidTr="000D46B4">
        <w:trPr>
          <w:trHeight w:val="510"/>
        </w:trPr>
        <w:tc>
          <w:tcPr>
            <w:tcW w:w="2617" w:type="dxa"/>
            <w:vMerge w:val="restart"/>
            <w:tcBorders>
              <w:top w:val="single" w:sz="4" w:space="0" w:color="000000"/>
              <w:left w:val="single" w:sz="4" w:space="0" w:color="000000"/>
              <w:bottom w:val="single" w:sz="4" w:space="0" w:color="000000"/>
              <w:right w:val="single" w:sz="4" w:space="0" w:color="000000"/>
            </w:tcBorders>
            <w:vAlign w:val="center"/>
            <w:hideMark/>
          </w:tcPr>
          <w:p w:rsidR="000D46B4" w:rsidRDefault="000D46B4">
            <w:pPr>
              <w:pStyle w:val="BodyTextIndent"/>
              <w:spacing w:after="0"/>
              <w:ind w:left="0" w:firstLine="525"/>
              <w:rPr>
                <w:sz w:val="28"/>
                <w:szCs w:val="28"/>
              </w:rPr>
            </w:pPr>
            <w:r>
              <w:rPr>
                <w:sz w:val="28"/>
                <w:szCs w:val="28"/>
              </w:rPr>
              <w:t>Yếu, kém</w:t>
            </w: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0D46B4" w:rsidRDefault="000D46B4">
            <w:pPr>
              <w:pStyle w:val="BodyTextIndent"/>
              <w:spacing w:after="0"/>
              <w:ind w:left="0" w:firstLine="743"/>
              <w:rPr>
                <w:sz w:val="28"/>
                <w:szCs w:val="28"/>
              </w:rPr>
            </w:pPr>
            <w:r>
              <w:rPr>
                <w:sz w:val="28"/>
                <w:szCs w:val="28"/>
              </w:rPr>
              <w:t>Yếu</w:t>
            </w:r>
          </w:p>
        </w:tc>
        <w:tc>
          <w:tcPr>
            <w:tcW w:w="3312" w:type="dxa"/>
            <w:tcBorders>
              <w:top w:val="single" w:sz="4" w:space="0" w:color="000000"/>
              <w:left w:val="single" w:sz="4" w:space="0" w:color="000000"/>
              <w:bottom w:val="single" w:sz="4" w:space="0" w:color="000000"/>
              <w:right w:val="single" w:sz="4" w:space="0" w:color="000000"/>
            </w:tcBorders>
            <w:vAlign w:val="center"/>
            <w:hideMark/>
          </w:tcPr>
          <w:p w:rsidR="000D46B4" w:rsidRDefault="000D46B4">
            <w:pPr>
              <w:pStyle w:val="BodyTextIndent"/>
              <w:spacing w:after="0"/>
              <w:ind w:left="0" w:firstLine="594"/>
              <w:rPr>
                <w:sz w:val="28"/>
                <w:szCs w:val="28"/>
              </w:rPr>
            </w:pPr>
            <w:r>
              <w:rPr>
                <w:sz w:val="28"/>
                <w:szCs w:val="28"/>
              </w:rPr>
              <w:t>từ 1,00 đến 1,99</w:t>
            </w:r>
          </w:p>
        </w:tc>
      </w:tr>
      <w:tr w:rsidR="000D46B4" w:rsidTr="000D46B4">
        <w:trPr>
          <w:trHeight w:val="5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46B4" w:rsidRDefault="000D46B4">
            <w:pPr>
              <w:rPr>
                <w:sz w:val="28"/>
                <w:szCs w:val="28"/>
              </w:rPr>
            </w:pP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0D46B4" w:rsidRDefault="000D46B4">
            <w:pPr>
              <w:pStyle w:val="BodyTextIndent"/>
              <w:spacing w:after="0"/>
              <w:ind w:left="0" w:firstLine="743"/>
              <w:rPr>
                <w:sz w:val="28"/>
                <w:szCs w:val="28"/>
              </w:rPr>
            </w:pPr>
            <w:r>
              <w:rPr>
                <w:sz w:val="28"/>
                <w:szCs w:val="28"/>
              </w:rPr>
              <w:t>Kém</w:t>
            </w:r>
          </w:p>
        </w:tc>
        <w:tc>
          <w:tcPr>
            <w:tcW w:w="3312" w:type="dxa"/>
            <w:tcBorders>
              <w:top w:val="single" w:sz="4" w:space="0" w:color="000000"/>
              <w:left w:val="single" w:sz="4" w:space="0" w:color="000000"/>
              <w:bottom w:val="single" w:sz="4" w:space="0" w:color="000000"/>
              <w:right w:val="single" w:sz="4" w:space="0" w:color="000000"/>
            </w:tcBorders>
            <w:vAlign w:val="center"/>
            <w:hideMark/>
          </w:tcPr>
          <w:p w:rsidR="000D46B4" w:rsidRDefault="000D46B4">
            <w:pPr>
              <w:pStyle w:val="BodyTextIndent"/>
              <w:spacing w:after="0"/>
              <w:ind w:left="0" w:firstLine="594"/>
              <w:rPr>
                <w:sz w:val="28"/>
                <w:szCs w:val="28"/>
              </w:rPr>
            </w:pPr>
            <w:r>
              <w:rPr>
                <w:sz w:val="28"/>
                <w:szCs w:val="28"/>
              </w:rPr>
              <w:t>Dưới 1,00</w:t>
            </w:r>
          </w:p>
        </w:tc>
      </w:tr>
    </w:tbl>
    <w:p w:rsidR="000D46B4" w:rsidRDefault="000D46B4" w:rsidP="000D46B4">
      <w:pPr>
        <w:pStyle w:val="BodyTextIndent"/>
        <w:spacing w:before="240"/>
        <w:ind w:left="0" w:firstLine="539"/>
        <w:jc w:val="both"/>
        <w:rPr>
          <w:sz w:val="28"/>
          <w:szCs w:val="28"/>
        </w:rPr>
      </w:pPr>
      <w:r>
        <w:rPr>
          <w:sz w:val="28"/>
          <w:szCs w:val="28"/>
        </w:rPr>
        <w:t>4. Kết quả học tập của học kỳ phụ được gộp vào kết quả học tập của học kỳ chính ngay sau học kỳ phụ để xếp hạng sinh viên về học lực.</w:t>
      </w:r>
    </w:p>
    <w:p w:rsidR="0044421E" w:rsidRDefault="0044421E"/>
    <w:sectPr w:rsidR="0044421E" w:rsidSect="007E6EB7">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B4"/>
    <w:rsid w:val="000D46B4"/>
    <w:rsid w:val="0044421E"/>
    <w:rsid w:val="007E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0D46B4"/>
    <w:pPr>
      <w:spacing w:line="240" w:lineRule="auto"/>
      <w:ind w:left="360"/>
    </w:pPr>
    <w:rPr>
      <w:rFonts w:eastAsia="Times New Roman"/>
      <w:sz w:val="24"/>
      <w:szCs w:val="24"/>
    </w:rPr>
  </w:style>
  <w:style w:type="character" w:customStyle="1" w:styleId="BodyTextIndentChar">
    <w:name w:val="Body Text Indent Char"/>
    <w:basedOn w:val="DefaultParagraphFont"/>
    <w:link w:val="BodyTextIndent"/>
    <w:rsid w:val="000D46B4"/>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0D46B4"/>
    <w:pPr>
      <w:spacing w:line="240" w:lineRule="auto"/>
      <w:ind w:left="360"/>
    </w:pPr>
    <w:rPr>
      <w:rFonts w:eastAsia="Times New Roman"/>
      <w:sz w:val="24"/>
      <w:szCs w:val="24"/>
    </w:rPr>
  </w:style>
  <w:style w:type="character" w:customStyle="1" w:styleId="BodyTextIndentChar">
    <w:name w:val="Body Text Indent Char"/>
    <w:basedOn w:val="DefaultParagraphFont"/>
    <w:link w:val="BodyTextIndent"/>
    <w:rsid w:val="000D46B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19733">
      <w:bodyDiv w:val="1"/>
      <w:marLeft w:val="0"/>
      <w:marRight w:val="0"/>
      <w:marTop w:val="0"/>
      <w:marBottom w:val="0"/>
      <w:divBdr>
        <w:top w:val="none" w:sz="0" w:space="0" w:color="auto"/>
        <w:left w:val="none" w:sz="0" w:space="0" w:color="auto"/>
        <w:bottom w:val="none" w:sz="0" w:space="0" w:color="auto"/>
        <w:right w:val="none" w:sz="0" w:space="0" w:color="auto"/>
      </w:divBdr>
    </w:div>
    <w:div w:id="144396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Khatmau_sr</dc:creator>
  <cp:lastModifiedBy>Khatmau_sr</cp:lastModifiedBy>
  <cp:revision>1</cp:revision>
  <dcterms:created xsi:type="dcterms:W3CDTF">2015-01-27T14:38:00Z</dcterms:created>
  <dcterms:modified xsi:type="dcterms:W3CDTF">2015-01-27T14:44:00Z</dcterms:modified>
</cp:coreProperties>
</file>